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color w:val="17233D"/>
        </w:rPr>
        <w:t xml:space="preserve">Proposta comercial</w:t>
      </w:r>
    </w:p>
    <w:p>
      <w:pPr>
        <w:spacing w:after="400"/>
      </w:pPr>
      <w:r>
        <w:rPr>
          <w:b/>
          <w:bCs/>
          <w:color w:val="0F766E"/>
          <w:sz w:val="24"/>
          <w:szCs w:val="24"/>
        </w:rPr>
        <w:t xml:space="preserve">Gerenciamento de riscos ocupacionais e adequação à NR-1</w:t>
      </w:r>
    </w:p>
    <w:p>
      <w:pPr>
        <w:spacing w:after="60"/>
      </w:pPr>
      <w:r>
        <w:rPr>
          <w:b/>
          <w:bCs/>
          <w:color w:val="475569"/>
          <w:sz w:val="20"/>
          <w:szCs w:val="20"/>
        </w:rPr>
        <w:t xml:space="preserve">LOCAL E DATA</w:t>
      </w:r>
    </w:p>
    <w:p>
      <w:pPr>
        <w:spacing w:after="200" w:line="300"/>
      </w:pPr>
      <w:r>
        <w:rPr>
          <w:i/>
          <w:iCs/>
          <w:color w:val="0F766E"/>
        </w:rPr>
        <w:t xml:space="preserve">[Cidade], [dia] de [mês] de [ano]</w:t>
      </w:r>
    </w:p>
    <w:p>
      <w:pPr>
        <w:spacing w:after="60"/>
      </w:pPr>
      <w:r>
        <w:rPr>
          <w:b/>
          <w:bCs/>
          <w:color w:val="475569"/>
          <w:sz w:val="20"/>
          <w:szCs w:val="20"/>
        </w:rPr>
        <w:t xml:space="preserve">DESTINATÁRIO</w:t>
      </w:r>
    </w:p>
    <w:p>
      <w:pPr>
        <w:spacing w:after="200" w:line="300"/>
      </w:pPr>
      <w:r>
        <w:t xml:space="preserve">À </w:t>
      </w:r>
      <w:r>
        <w:rPr>
          <w:i/>
          <w:iCs/>
          <w:color w:val="0F766E"/>
        </w:rPr>
        <w:t xml:space="preserve">[Razão social da empresa]</w:t>
      </w:r>
    </w:p>
    <w:p>
      <w:pPr>
        <w:spacing w:after="300"/>
      </w:pPr>
      <w:r>
        <w:t xml:space="preserve">A/C: </w:t>
      </w:r>
      <w:r>
        <w:rPr>
          <w:i/>
          <w:iCs/>
          <w:color w:val="0F766E"/>
        </w:rPr>
        <w:t xml:space="preserve">[Nome do responsável identificado]</w:t>
      </w:r>
      <w:r>
        <w:t xml:space="preserve"> — </w:t>
      </w:r>
      <w:r>
        <w:rPr>
          <w:i/>
          <w:iCs/>
          <w:color w:val="0F766E"/>
        </w:rPr>
        <w:t xml:space="preserve">[Cargo]</w:t>
      </w:r>
    </w:p>
    <w:p>
      <w:pPr>
        <w:spacing w:after="400"/>
      </w:pPr>
      <w:r>
        <w:rPr>
          <w:i/>
          <w:iCs/>
        </w:rPr>
        <w:t xml:space="preserve">Ref.: Proposta de serviços técnicos para gerenciamento de riscos ocupacionais, com foco em riscos psicossociais relacionados ao trabalho (NR-1, capítulo 1.5).</w:t>
      </w:r>
    </w:p>
    <w:p>
      <w:pPr>
        <w:pStyle w:val="Heading2"/>
        <w:spacing w:after="160" w:before="200"/>
      </w:pPr>
      <w:r>
        <w:rPr>
          <w:color w:val="17233D"/>
        </w:rPr>
        <w:t xml:space="preserve">1. Apresentação</w:t>
      </w:r>
    </w:p>
    <w:p>
      <w:pPr>
        <w:spacing w:after="200" w:line="300"/>
      </w:pPr>
      <w:r>
        <w:t xml:space="preserve">Desde 26 de maio de 2026 está em vigor a nova redação do capítulo 1.5 da NR-1, que passou a incluir de forma expressa os fatores de risco psicossociais relacionados ao trabalho no Gerenciamento de Riscos Ocupacionais (GRO). Isso significa que toda organização precisa identificar, avaliar e controlar esses riscos com o mesmo rigor já aplicado aos riscos físicos, químicos e biológicos — e registrar esse processo no inventário de riscos e no plano de ação.</w:t>
      </w:r>
    </w:p>
    <w:p>
      <w:pPr>
        <w:spacing w:after="200" w:line="300"/>
      </w:pPr>
      <w:r>
        <w:t xml:space="preserve">[Nome do profissional]</w:t>
      </w:r>
      <w:r>
        <w:t xml:space="preserve"> apresenta esta proposta para conduzir esse trabalho na </w:t>
      </w:r>
      <w:r>
        <w:rPr>
          <w:i/>
          <w:iCs/>
          <w:color w:val="0F766E"/>
        </w:rPr>
        <w:t xml:space="preserve">[nome da empresa]</w:t>
      </w:r>
      <w:r>
        <w:t xml:space="preserve">, com o objetivo de deixar a organização com o processo estruturado, documentado e defensável — não apenas em conformidade formal, mas com um ambiente de trabalho efetivamente mais seguro.</w:t>
      </w:r>
    </w:p>
    <w:p>
      <w:pPr>
        <w:pStyle w:val="Heading2"/>
        <w:spacing w:after="160" w:before="300"/>
      </w:pPr>
      <w:r>
        <w:rPr>
          <w:color w:val="17233D"/>
        </w:rPr>
        <w:t xml:space="preserve">2. Escopo dos serviços</w:t>
      </w:r>
    </w:p>
    <w:p>
      <w:pPr>
        <w:spacing w:after="200"/>
      </w:pPr>
      <w:r>
        <w:t xml:space="preserve">Marque os itens que compõem esta proposta. O escopo final é ajustado conforme o diagnóstico inicial da empresa.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Inventário de riscos psicossociais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Programa de Gerenciamento de Riscos (PGR) completo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Plano de ação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Avaliação psicossocial (pesquisa com trabalhadores)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Treinamento de lideranças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Estruturação de canal de denúncia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Laudo e perícia</w:t>
      </w:r>
    </w:p>
    <w:p>
      <w:pPr>
        <w:spacing w:after="120"/>
        <w:ind w:left="36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Auditoria de conformidade</w:t>
      </w:r>
    </w:p>
    <w:p>
      <w:pPr>
        <w:pStyle w:val="Heading2"/>
        <w:spacing w:after="160" w:before="300"/>
      </w:pPr>
      <w:r>
        <w:rPr>
          <w:color w:val="17233D"/>
        </w:rPr>
        <w:t xml:space="preserve">3. Metodologia e etapas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5160"/>
        <w:gridCol w:w="3000"/>
      </w:tblGrid>
      <w:tr>
        <w:tc>
          <w:tcPr>
            <w:tcW w:type="dxa" w:w="120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Etapa</w:t>
            </w:r>
          </w:p>
        </w:tc>
        <w:tc>
          <w:tcPr>
            <w:tcW w:type="dxa" w:w="516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Descrição</w:t>
            </w:r>
          </w:p>
        </w:tc>
        <w:tc>
          <w:tcPr>
            <w:tcW w:type="dxa" w:w="300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Prazo estimado</w:t>
            </w:r>
          </w:p>
        </w:tc>
      </w:tr>
      <w:tr>
        <w:tc>
          <w:tcPr>
            <w:tcW w:type="dxa" w:w="12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1</w:t>
            </w:r>
          </w:p>
        </w:tc>
        <w:tc>
          <w:tcPr>
            <w:tcW w:type="dxa" w:w="51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Diagnóstico inicial e levantamento preliminar de perigos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  ] dias úteis</w:t>
            </w:r>
          </w:p>
        </w:tc>
      </w:tr>
      <w:tr>
        <w:tc>
          <w:tcPr>
            <w:tcW w:type="dxa" w:w="12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2</w:t>
            </w:r>
          </w:p>
        </w:tc>
        <w:tc>
          <w:tcPr>
            <w:tcW w:type="dxa" w:w="51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Identificação e avaliação dos riscos, incluindo fatores psicossociais (NR-17)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  ] dias úteis</w:t>
            </w:r>
          </w:p>
        </w:tc>
      </w:tr>
      <w:tr>
        <w:tc>
          <w:tcPr>
            <w:tcW w:type="dxa" w:w="12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3</w:t>
            </w:r>
          </w:p>
        </w:tc>
        <w:tc>
          <w:tcPr>
            <w:tcW w:type="dxa" w:w="51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Elaboração do inventário de riscos e do plano de ação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  ] dias úteis</w:t>
            </w:r>
          </w:p>
        </w:tc>
      </w:tr>
      <w:tr>
        <w:tc>
          <w:tcPr>
            <w:tcW w:type="dxa" w:w="12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4</w:t>
            </w:r>
          </w:p>
        </w:tc>
        <w:tc>
          <w:tcPr>
            <w:tcW w:type="dxa" w:w="51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Apresentação dos resultados e alinhamento das medidas de prevenção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  ] dias úteis</w:t>
            </w:r>
          </w:p>
        </w:tc>
      </w:tr>
      <w:tr>
        <w:tc>
          <w:tcPr>
            <w:tcW w:type="dxa" w:w="12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5</w:t>
            </w:r>
          </w:p>
        </w:tc>
        <w:tc>
          <w:tcPr>
            <w:tcW w:type="dxa" w:w="51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Acompanhamento e revisão periódica (recomendado: a cada 2 anos, conforme NR-1)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[a combinar]</w:t>
            </w:r>
          </w:p>
        </w:tc>
      </w:tr>
    </w:tbl>
    <w:p>
      <w:pPr>
        <w:pStyle w:val="Heading2"/>
        <w:spacing w:after="160" w:before="300"/>
      </w:pPr>
      <w:r>
        <w:rPr>
          <w:color w:val="17233D"/>
        </w:rPr>
        <w:t xml:space="preserve">4. Investimento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60"/>
        <w:gridCol w:w="3000"/>
      </w:tblGrid>
      <w:tr>
        <w:tc>
          <w:tcPr>
            <w:tcW w:type="dxa" w:w="636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W w:type="dxa" w:w="300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Valor (R$)</w:t>
            </w:r>
          </w:p>
        </w:tc>
      </w:tr>
      <w:tr>
        <w:tc>
          <w:tcPr>
            <w:tcW w:type="dxa" w:w="63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[Descrever item do escopo]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  ]</w:t>
            </w:r>
          </w:p>
        </w:tc>
      </w:tr>
      <w:tr>
        <w:tc>
          <w:tcPr>
            <w:tcW w:type="dxa" w:w="636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[Descrever item do escopo]</w:t>
            </w:r>
          </w:p>
        </w:tc>
        <w:tc>
          <w:tcPr>
            <w:tcW w:type="dxa" w:w="30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[  ]</w:t>
            </w:r>
          </w:p>
        </w:tc>
      </w:tr>
      <w:tr>
        <w:tc>
          <w:tcPr>
            <w:tcW w:type="dxa" w:w="636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W w:type="dxa" w:w="3000"/>
            <w:shd w:fill="F0FDFA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[  ]</w:t>
            </w:r>
          </w:p>
        </w:tc>
      </w:tr>
    </w:tbl>
    <w:p>
      <w:pPr>
        <w:spacing w:after="200" w:before="200"/>
      </w:pPr>
      <w:r>
        <w:rPr>
          <w:i/>
          <w:iCs/>
          <w:color w:val="0F766E"/>
        </w:rPr>
        <w:t xml:space="preserve">Condições de pagamento: [descrever — à vista, parcelado, por etapa entregue etc.]</w:t>
      </w:r>
    </w:p>
    <w:p>
      <w:pPr>
        <w:pStyle w:val="Heading2"/>
        <w:spacing w:after="160" w:before="300"/>
      </w:pPr>
      <w:r>
        <w:rPr>
          <w:color w:val="17233D"/>
        </w:rPr>
        <w:t xml:space="preserve">5. Qualificação técnica</w:t>
      </w:r>
    </w:p>
    <w:p>
      <w:pPr>
        <w:spacing w:after="200" w:line="300"/>
      </w:pPr>
      <w:r>
        <w:rPr>
          <w:i/>
          <w:iCs/>
          <w:color w:val="0F766E"/>
        </w:rPr>
        <w:t xml:space="preserve">[Descreva formação, registro em conselho de classe quando houver, experiência prévia e referências relevantes. A NR-1 não exige profissão regulamentada específica — descreva o conhecimento técnico que sustenta esta proposta.]</w:t>
      </w:r>
    </w:p>
    <w:p>
      <w:pPr>
        <w:pStyle w:val="Heading2"/>
        <w:spacing w:after="160" w:before="300"/>
      </w:pPr>
      <w:r>
        <w:rPr>
          <w:color w:val="17233D"/>
        </w:rPr>
        <w:t xml:space="preserve">6. Validade da proposta</w:t>
      </w:r>
    </w:p>
    <w:p>
      <w:pPr>
        <w:spacing w:after="400"/>
      </w:pPr>
      <w:r>
        <w:t xml:space="preserve">Esta proposta é válida por </w:t>
      </w:r>
      <w:r>
        <w:rPr>
          <w:i/>
          <w:iCs/>
          <w:color w:val="0F766E"/>
        </w:rPr>
        <w:t xml:space="preserve">[15]</w:t>
      </w:r>
      <w:r>
        <w:t xml:space="preserve"> dias corridos a partir da data de envio.</w:t>
      </w:r>
    </w:p>
    <w:p>
      <w:pPr>
        <w:pBdr>
          <w:top w:val="single" w:color="CBD5E1" w:sz="4"/>
        </w:pBdr>
        <w:spacing w:after="80" w:before="400"/>
      </w:pPr>
      <w:r>
        <w:t xml:space="preserve"> </w:t>
      </w:r>
    </w:p>
    <w:p>
      <w:pPr>
        <w:spacing w:after="300"/>
      </w:pPr>
      <w:r>
        <w:t xml:space="preserve">Fico à disposição para esclarecer qualquer ponto desta proposta.</w:t>
      </w:r>
    </w:p>
    <w:p>
      <w:pPr>
        <w:spacing w:after="40"/>
      </w:pPr>
      <w:r>
        <w:rPr>
          <w:b/>
          <w:bCs/>
        </w:rPr>
        <w:t xml:space="preserve">[Nome do profissional]</w:t>
      </w:r>
    </w:p>
    <w:p>
      <w:pPr>
        <w:spacing w:after="40"/>
      </w:pPr>
      <w:r>
        <w:rPr>
          <w:i/>
          <w:iCs/>
          <w:color w:val="0F766E"/>
        </w:rPr>
        <w:t xml:space="preserve">[Registro profissional, quando houver]</w:t>
      </w:r>
    </w:p>
    <w:p>
      <w:pPr>
        <w:spacing w:after="200" w:line="300"/>
      </w:pPr>
      <w:r>
        <w:rPr>
          <w:i/>
          <w:iCs/>
          <w:color w:val="0F766E"/>
        </w:rPr>
        <w:t xml:space="preserve">[Telefone]  ·  [E-mail]</w:t>
      </w:r>
    </w:p>
    <w:sectPr>
      <w:headerReference w:type="default" r:id="rId7"/>
      <w:footerReference w:type="default" r:id="rId8"/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4A3B8"/>
        <w:sz w:val="16"/>
        <w:szCs w:val="16"/>
      </w:rPr>
      <w:t xml:space="preserve">Página </w:t>
    </w:r>
    <w:r>
      <w:rPr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4A3B8"/>
        <w:sz w:val="16"/>
        <w:szCs w:val="16"/>
      </w:rPr>
      <w:t xml:space="preserve"> de </w:t>
    </w:r>
    <w:r>
      <w:rPr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BD5E1" w:sz="4"/>
      </w:pBdr>
      <w:spacing w:after="200"/>
      <w:jc w:val="right"/>
    </w:pPr>
    <w:r>
      <w:rPr>
        <w:color w:val="64748B"/>
        <w:sz w:val="18"/>
        <w:szCs w:val="18"/>
      </w:rPr>
      <w:t xml:space="preserve">[NOME DO PROFISSIONAL OU ESCRITÓRIO]  ·  [Registro profissional, quando houver]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2026-08-25T01:16:16.088Z</dcterms:created>
  <dcterms:modified xsi:type="dcterms:W3CDTF">2026-08-25T01:16:16.088Z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